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BE" w:rsidRDefault="006C0ABE" w:rsidP="00CB5F21">
      <w:pPr>
        <w:jc w:val="center"/>
        <w:rPr>
          <w:rFonts w:asciiTheme="majorHAnsi" w:hAnsiTheme="majorHAnsi"/>
          <w:sz w:val="24"/>
          <w:szCs w:val="24"/>
        </w:rPr>
      </w:pPr>
      <w:r>
        <w:rPr>
          <w:noProof/>
          <w:lang w:eastAsia="en-GB"/>
        </w:rPr>
        <w:drawing>
          <wp:anchor distT="0" distB="0" distL="114300" distR="114300" simplePos="0" relativeHeight="251659264" behindDoc="1" locked="0" layoutInCell="1" allowOverlap="1" wp14:anchorId="339A7F1B" wp14:editId="490B05A6">
            <wp:simplePos x="0" y="0"/>
            <wp:positionH relativeFrom="margin">
              <wp:posOffset>2257425</wp:posOffset>
            </wp:positionH>
            <wp:positionV relativeFrom="paragraph">
              <wp:posOffset>-600075</wp:posOffset>
            </wp:positionV>
            <wp:extent cx="996950" cy="952500"/>
            <wp:effectExtent l="0" t="0" r="0" b="0"/>
            <wp:wrapNone/>
            <wp:docPr id="9" name="Picture 9"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ABE" w:rsidRDefault="006C0ABE" w:rsidP="00CB5F21">
      <w:pPr>
        <w:jc w:val="center"/>
        <w:rPr>
          <w:rFonts w:asciiTheme="majorHAnsi" w:hAnsiTheme="majorHAnsi"/>
          <w:b/>
          <w:sz w:val="28"/>
          <w:szCs w:val="28"/>
        </w:rPr>
      </w:pPr>
    </w:p>
    <w:p w:rsidR="00D56D22" w:rsidRPr="006C0ABE" w:rsidRDefault="00CB5F21" w:rsidP="00CB5F21">
      <w:pPr>
        <w:jc w:val="center"/>
        <w:rPr>
          <w:rFonts w:asciiTheme="majorHAnsi" w:hAnsiTheme="majorHAnsi"/>
          <w:b/>
          <w:sz w:val="28"/>
          <w:szCs w:val="28"/>
        </w:rPr>
      </w:pPr>
      <w:proofErr w:type="spellStart"/>
      <w:r w:rsidRPr="006C0ABE">
        <w:rPr>
          <w:rFonts w:asciiTheme="majorHAnsi" w:hAnsiTheme="majorHAnsi"/>
          <w:b/>
          <w:sz w:val="28"/>
          <w:szCs w:val="28"/>
        </w:rPr>
        <w:t>Ilminster</w:t>
      </w:r>
      <w:proofErr w:type="spellEnd"/>
      <w:r w:rsidRPr="006C0ABE">
        <w:rPr>
          <w:rFonts w:asciiTheme="majorHAnsi" w:hAnsiTheme="majorHAnsi"/>
          <w:b/>
          <w:sz w:val="28"/>
          <w:szCs w:val="28"/>
        </w:rPr>
        <w:t xml:space="preserve"> Avenue Nursery School</w:t>
      </w:r>
    </w:p>
    <w:p w:rsidR="00CB5F21" w:rsidRPr="006C0ABE" w:rsidRDefault="00CB5F21" w:rsidP="00CB5F21">
      <w:pPr>
        <w:jc w:val="center"/>
        <w:rPr>
          <w:rFonts w:asciiTheme="majorHAnsi" w:hAnsiTheme="majorHAnsi"/>
          <w:b/>
          <w:sz w:val="24"/>
          <w:szCs w:val="24"/>
        </w:rPr>
      </w:pPr>
      <w:r w:rsidRPr="006C0ABE">
        <w:rPr>
          <w:rFonts w:asciiTheme="majorHAnsi" w:hAnsiTheme="majorHAnsi"/>
          <w:b/>
          <w:sz w:val="24"/>
          <w:szCs w:val="24"/>
        </w:rPr>
        <w:t>Pupil Premium Report 22/23</w:t>
      </w:r>
    </w:p>
    <w:p w:rsidR="00CB5F21" w:rsidRPr="00CB5F21" w:rsidRDefault="00CB5F21" w:rsidP="00CB5F21">
      <w:pPr>
        <w:jc w:val="center"/>
        <w:rPr>
          <w:rFonts w:asciiTheme="majorHAnsi" w:hAnsiTheme="majorHAnsi"/>
          <w:sz w:val="24"/>
          <w:szCs w:val="24"/>
        </w:rPr>
      </w:pPr>
    </w:p>
    <w:p w:rsidR="00CB5F21" w:rsidRPr="00CB5F21" w:rsidRDefault="00CB5F21" w:rsidP="00CB5F21">
      <w:pPr>
        <w:rPr>
          <w:rFonts w:asciiTheme="majorHAnsi" w:hAnsiTheme="majorHAnsi"/>
          <w:sz w:val="24"/>
          <w:szCs w:val="24"/>
        </w:rPr>
      </w:pPr>
      <w:r w:rsidRPr="00CB5F21">
        <w:rPr>
          <w:rFonts w:asciiTheme="majorHAnsi" w:hAnsiTheme="majorHAnsi"/>
          <w:sz w:val="24"/>
          <w:szCs w:val="24"/>
        </w:rPr>
        <w:t>The Early years Pupil premium is additional funding given to Early Years settings to improve the education provided for disadvantaged 3 and 4 year olds.</w:t>
      </w:r>
    </w:p>
    <w:p w:rsidR="00CB5F21" w:rsidRPr="00CB5F21" w:rsidRDefault="00CB5F21" w:rsidP="00CB5F21">
      <w:pPr>
        <w:rPr>
          <w:rFonts w:asciiTheme="majorHAnsi" w:hAnsiTheme="majorHAnsi"/>
          <w:sz w:val="24"/>
          <w:szCs w:val="24"/>
        </w:rPr>
      </w:pPr>
      <w:r w:rsidRPr="00CB5F21">
        <w:rPr>
          <w:rFonts w:asciiTheme="majorHAnsi" w:hAnsiTheme="majorHAnsi"/>
          <w:sz w:val="24"/>
          <w:szCs w:val="24"/>
        </w:rPr>
        <w:t>It is the responsibility of each setting to identify children and families that are eligible for the funding and support them to apply for it.</w:t>
      </w:r>
    </w:p>
    <w:p w:rsidR="00CB5F21" w:rsidRPr="00CB5F21" w:rsidRDefault="00CB5F21" w:rsidP="00CB5F21">
      <w:pPr>
        <w:rPr>
          <w:rFonts w:asciiTheme="majorHAnsi" w:hAnsiTheme="majorHAnsi"/>
          <w:sz w:val="24"/>
          <w:szCs w:val="24"/>
        </w:rPr>
      </w:pPr>
      <w:r w:rsidRPr="00CB5F21">
        <w:rPr>
          <w:rFonts w:asciiTheme="majorHAnsi" w:hAnsiTheme="majorHAnsi"/>
          <w:sz w:val="24"/>
          <w:szCs w:val="24"/>
        </w:rPr>
        <w:t>If a child is eligible the setting will receive £300 to support them. This equates to 53p an hour or £25 a month. This is in comparison to the £1,300 that Primary schools receive per pupil for identified Pupil premium children. Primary Schools have received Pupil Premium funding since 2011, with Early Years settings receiving the funding from 2015.</w:t>
      </w:r>
    </w:p>
    <w:p w:rsidR="00CB5F21" w:rsidRDefault="00CB5F21" w:rsidP="00CB5F21">
      <w:pPr>
        <w:rPr>
          <w:rFonts w:asciiTheme="majorHAnsi" w:hAnsiTheme="majorHAnsi"/>
          <w:sz w:val="24"/>
          <w:szCs w:val="24"/>
        </w:rPr>
      </w:pPr>
      <w:r w:rsidRPr="00CB5F21">
        <w:rPr>
          <w:rFonts w:asciiTheme="majorHAnsi" w:hAnsiTheme="majorHAnsi"/>
          <w:sz w:val="24"/>
          <w:szCs w:val="24"/>
        </w:rPr>
        <w:t>Families are eligible if:</w:t>
      </w:r>
    </w:p>
    <w:p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They are receiving Income Support</w:t>
      </w:r>
    </w:p>
    <w:p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They are receiving Jobseekers Allowance</w:t>
      </w:r>
    </w:p>
    <w:p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If they are supported through the Immigration and Asylum Act 1999</w:t>
      </w:r>
    </w:p>
    <w:p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Receive Child Tax Credits</w:t>
      </w:r>
    </w:p>
    <w:p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Receive Universal Credit</w:t>
      </w:r>
    </w:p>
    <w:p w:rsidR="00CB5F21" w:rsidRDefault="00CB5F21" w:rsidP="00CB5F21">
      <w:pPr>
        <w:pStyle w:val="ListParagraph"/>
        <w:numPr>
          <w:ilvl w:val="0"/>
          <w:numId w:val="1"/>
        </w:numPr>
        <w:rPr>
          <w:rFonts w:asciiTheme="majorHAnsi" w:hAnsiTheme="majorHAnsi"/>
          <w:sz w:val="24"/>
          <w:szCs w:val="24"/>
        </w:rPr>
      </w:pPr>
      <w:r>
        <w:rPr>
          <w:rFonts w:asciiTheme="majorHAnsi" w:hAnsiTheme="majorHAnsi"/>
          <w:sz w:val="24"/>
          <w:szCs w:val="24"/>
        </w:rPr>
        <w:t>Are a Child Looked After by the state</w:t>
      </w:r>
    </w:p>
    <w:p w:rsidR="00CB5F21" w:rsidRDefault="00CB5F21" w:rsidP="00CB5F21">
      <w:pPr>
        <w:rPr>
          <w:rFonts w:asciiTheme="majorHAnsi" w:hAnsiTheme="majorHAnsi"/>
          <w:sz w:val="24"/>
          <w:szCs w:val="24"/>
        </w:rPr>
      </w:pPr>
      <w:r>
        <w:rPr>
          <w:rFonts w:asciiTheme="majorHAnsi" w:hAnsiTheme="majorHAnsi"/>
          <w:sz w:val="24"/>
          <w:szCs w:val="24"/>
        </w:rPr>
        <w:t xml:space="preserve">At </w:t>
      </w:r>
      <w:proofErr w:type="spellStart"/>
      <w:r>
        <w:rPr>
          <w:rFonts w:asciiTheme="majorHAnsi" w:hAnsiTheme="majorHAnsi"/>
          <w:sz w:val="24"/>
          <w:szCs w:val="24"/>
        </w:rPr>
        <w:t>Ilminster</w:t>
      </w:r>
      <w:proofErr w:type="spellEnd"/>
      <w:r>
        <w:rPr>
          <w:rFonts w:asciiTheme="majorHAnsi" w:hAnsiTheme="majorHAnsi"/>
          <w:sz w:val="24"/>
          <w:szCs w:val="24"/>
        </w:rPr>
        <w:t xml:space="preserve"> Avenue Nursery School, the small amount we receive for Pupil premium funding is used to enhance our bespoke and targeted provision to impact on supporting families in understanding how they can help their children with learning, to develop the knowledge and understanding of our staff to improve learning outcomes. We also work to broaden children’s life experiences.</w:t>
      </w:r>
    </w:p>
    <w:p w:rsidR="00CB5F21" w:rsidRDefault="00CB5F21" w:rsidP="00CB5F21">
      <w:pPr>
        <w:rPr>
          <w:rFonts w:asciiTheme="majorHAnsi" w:hAnsiTheme="majorHAnsi"/>
          <w:sz w:val="24"/>
          <w:szCs w:val="24"/>
        </w:rPr>
      </w:pPr>
      <w:r>
        <w:rPr>
          <w:rFonts w:asciiTheme="majorHAnsi" w:hAnsiTheme="majorHAnsi"/>
          <w:sz w:val="24"/>
          <w:szCs w:val="24"/>
        </w:rPr>
        <w:t>We have used research to underpin the quality and effectiveness of our interventions. Research from The Sutton Trust underpins our knowledge and experience of what the most effective impact on outcomes for children is. The Sutton Trust has concluded that the main reasons behind differences for the disadvantage are:</w:t>
      </w:r>
    </w:p>
    <w:p w:rsidR="008A1147" w:rsidRDefault="008A1147" w:rsidP="008A1147">
      <w:pPr>
        <w:pStyle w:val="ListParagraph"/>
        <w:numPr>
          <w:ilvl w:val="0"/>
          <w:numId w:val="2"/>
        </w:numPr>
        <w:rPr>
          <w:rFonts w:asciiTheme="majorHAnsi" w:hAnsiTheme="majorHAnsi"/>
          <w:sz w:val="24"/>
          <w:szCs w:val="24"/>
        </w:rPr>
      </w:pPr>
      <w:r>
        <w:rPr>
          <w:rFonts w:asciiTheme="majorHAnsi" w:hAnsiTheme="majorHAnsi"/>
          <w:sz w:val="24"/>
          <w:szCs w:val="24"/>
        </w:rPr>
        <w:t>Lack of secure attachment in the child parent/carer relationship</w:t>
      </w:r>
    </w:p>
    <w:p w:rsidR="008A1147" w:rsidRDefault="008A1147" w:rsidP="008A1147">
      <w:pPr>
        <w:pStyle w:val="ListParagraph"/>
        <w:numPr>
          <w:ilvl w:val="0"/>
          <w:numId w:val="2"/>
        </w:numPr>
        <w:rPr>
          <w:rFonts w:asciiTheme="majorHAnsi" w:hAnsiTheme="majorHAnsi"/>
          <w:sz w:val="24"/>
          <w:szCs w:val="24"/>
        </w:rPr>
      </w:pPr>
      <w:r>
        <w:rPr>
          <w:rFonts w:asciiTheme="majorHAnsi" w:hAnsiTheme="majorHAnsi"/>
          <w:sz w:val="24"/>
          <w:szCs w:val="24"/>
        </w:rPr>
        <w:t>Parenting style</w:t>
      </w:r>
    </w:p>
    <w:p w:rsidR="008A1147" w:rsidRDefault="008A1147" w:rsidP="008A1147">
      <w:pPr>
        <w:pStyle w:val="ListParagraph"/>
        <w:numPr>
          <w:ilvl w:val="0"/>
          <w:numId w:val="2"/>
        </w:numPr>
        <w:rPr>
          <w:rFonts w:asciiTheme="majorHAnsi" w:hAnsiTheme="majorHAnsi"/>
          <w:sz w:val="24"/>
          <w:szCs w:val="24"/>
        </w:rPr>
      </w:pPr>
      <w:r>
        <w:rPr>
          <w:rFonts w:asciiTheme="majorHAnsi" w:hAnsiTheme="majorHAnsi"/>
          <w:sz w:val="24"/>
          <w:szCs w:val="24"/>
        </w:rPr>
        <w:t>Home environment</w:t>
      </w:r>
    </w:p>
    <w:p w:rsidR="008A1147" w:rsidRDefault="008A1147" w:rsidP="008A1147">
      <w:pPr>
        <w:rPr>
          <w:rFonts w:asciiTheme="majorHAnsi" w:hAnsiTheme="majorHAnsi"/>
          <w:sz w:val="24"/>
          <w:szCs w:val="24"/>
        </w:rPr>
      </w:pPr>
      <w:r>
        <w:rPr>
          <w:rFonts w:asciiTheme="majorHAnsi" w:hAnsiTheme="majorHAnsi"/>
          <w:sz w:val="24"/>
          <w:szCs w:val="24"/>
        </w:rPr>
        <w:t xml:space="preserve">The </w:t>
      </w:r>
      <w:proofErr w:type="spellStart"/>
      <w:r>
        <w:rPr>
          <w:rFonts w:asciiTheme="majorHAnsi" w:hAnsiTheme="majorHAnsi"/>
          <w:sz w:val="24"/>
          <w:szCs w:val="24"/>
        </w:rPr>
        <w:t>ofsted</w:t>
      </w:r>
      <w:proofErr w:type="spellEnd"/>
      <w:r>
        <w:rPr>
          <w:rFonts w:asciiTheme="majorHAnsi" w:hAnsiTheme="majorHAnsi"/>
          <w:sz w:val="24"/>
          <w:szCs w:val="24"/>
        </w:rPr>
        <w:t xml:space="preserve"> research have identified that interventions that </w:t>
      </w:r>
      <w:bookmarkStart w:id="0" w:name="_GoBack"/>
      <w:bookmarkEnd w:id="0"/>
      <w:r w:rsidR="006C0ABE">
        <w:rPr>
          <w:rFonts w:asciiTheme="majorHAnsi" w:hAnsiTheme="majorHAnsi"/>
          <w:sz w:val="24"/>
          <w:szCs w:val="24"/>
        </w:rPr>
        <w:t>have the</w:t>
      </w:r>
      <w:r>
        <w:rPr>
          <w:rFonts w:asciiTheme="majorHAnsi" w:hAnsiTheme="majorHAnsi"/>
          <w:sz w:val="24"/>
          <w:szCs w:val="24"/>
        </w:rPr>
        <w:t xml:space="preserve"> greatest outcomes for children are:</w:t>
      </w:r>
    </w:p>
    <w:p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t>Clearly targeted</w:t>
      </w:r>
    </w:p>
    <w:p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t>Identified through the analysis of performance information</w:t>
      </w:r>
    </w:p>
    <w:p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lastRenderedPageBreak/>
        <w:t>Delivered through high quality teaching</w:t>
      </w:r>
    </w:p>
    <w:p w:rsidR="008A1147" w:rsidRDefault="008A1147" w:rsidP="008A1147">
      <w:pPr>
        <w:pStyle w:val="ListParagraph"/>
        <w:numPr>
          <w:ilvl w:val="0"/>
          <w:numId w:val="3"/>
        </w:numPr>
        <w:rPr>
          <w:rFonts w:asciiTheme="majorHAnsi" w:hAnsiTheme="majorHAnsi"/>
          <w:sz w:val="24"/>
          <w:szCs w:val="24"/>
        </w:rPr>
      </w:pPr>
      <w:r>
        <w:rPr>
          <w:rFonts w:asciiTheme="majorHAnsi" w:hAnsiTheme="majorHAnsi"/>
          <w:sz w:val="24"/>
          <w:szCs w:val="24"/>
        </w:rPr>
        <w:t>Are monitored effectively</w:t>
      </w:r>
    </w:p>
    <w:p w:rsidR="008A1147" w:rsidRDefault="008A1147" w:rsidP="008A1147">
      <w:pPr>
        <w:rPr>
          <w:rFonts w:asciiTheme="majorHAnsi" w:hAnsiTheme="majorHAnsi"/>
          <w:sz w:val="24"/>
          <w:szCs w:val="24"/>
        </w:rPr>
      </w:pPr>
      <w:r>
        <w:rPr>
          <w:rFonts w:asciiTheme="majorHAnsi" w:hAnsiTheme="majorHAnsi"/>
          <w:sz w:val="24"/>
          <w:szCs w:val="24"/>
        </w:rPr>
        <w:t xml:space="preserve">Based on this research, </w:t>
      </w:r>
      <w:proofErr w:type="spellStart"/>
      <w:r>
        <w:rPr>
          <w:rFonts w:asciiTheme="majorHAnsi" w:hAnsiTheme="majorHAnsi"/>
          <w:sz w:val="24"/>
          <w:szCs w:val="24"/>
        </w:rPr>
        <w:t>Ilminster</w:t>
      </w:r>
      <w:proofErr w:type="spellEnd"/>
      <w:r>
        <w:rPr>
          <w:rFonts w:asciiTheme="majorHAnsi" w:hAnsiTheme="majorHAnsi"/>
          <w:sz w:val="24"/>
          <w:szCs w:val="24"/>
        </w:rPr>
        <w:t xml:space="preserve"> Avenue Nursery School, have used their Pupil Premium funding to focus on:</w:t>
      </w:r>
    </w:p>
    <w:p w:rsidR="008A1147" w:rsidRDefault="008A1147" w:rsidP="008A1147">
      <w:pPr>
        <w:pStyle w:val="ListParagraph"/>
        <w:numPr>
          <w:ilvl w:val="0"/>
          <w:numId w:val="4"/>
        </w:numPr>
        <w:rPr>
          <w:rFonts w:asciiTheme="majorHAnsi" w:hAnsiTheme="majorHAnsi"/>
          <w:sz w:val="24"/>
          <w:szCs w:val="24"/>
        </w:rPr>
      </w:pPr>
      <w:r>
        <w:rPr>
          <w:rFonts w:asciiTheme="majorHAnsi" w:hAnsiTheme="majorHAnsi"/>
          <w:sz w:val="24"/>
          <w:szCs w:val="24"/>
        </w:rPr>
        <w:t>Working with Parents/carers to support their children</w:t>
      </w:r>
    </w:p>
    <w:p w:rsidR="008A1147" w:rsidRDefault="008A1147" w:rsidP="008A1147">
      <w:pPr>
        <w:pStyle w:val="ListParagraph"/>
        <w:numPr>
          <w:ilvl w:val="0"/>
          <w:numId w:val="4"/>
        </w:numPr>
        <w:rPr>
          <w:rFonts w:asciiTheme="majorHAnsi" w:hAnsiTheme="majorHAnsi"/>
          <w:sz w:val="24"/>
          <w:szCs w:val="24"/>
        </w:rPr>
      </w:pPr>
      <w:r>
        <w:rPr>
          <w:rFonts w:asciiTheme="majorHAnsi" w:hAnsiTheme="majorHAnsi"/>
          <w:sz w:val="24"/>
          <w:szCs w:val="24"/>
        </w:rPr>
        <w:t>Developing early language skills</w:t>
      </w:r>
    </w:p>
    <w:p w:rsidR="008A1147" w:rsidRDefault="008A1147" w:rsidP="008A1147">
      <w:pPr>
        <w:pStyle w:val="ListParagraph"/>
        <w:numPr>
          <w:ilvl w:val="0"/>
          <w:numId w:val="4"/>
        </w:numPr>
        <w:rPr>
          <w:rFonts w:asciiTheme="majorHAnsi" w:hAnsiTheme="majorHAnsi"/>
          <w:sz w:val="24"/>
          <w:szCs w:val="24"/>
        </w:rPr>
      </w:pPr>
      <w:r>
        <w:rPr>
          <w:rFonts w:asciiTheme="majorHAnsi" w:hAnsiTheme="majorHAnsi"/>
          <w:sz w:val="24"/>
          <w:szCs w:val="24"/>
        </w:rPr>
        <w:t>Developing specific and targeted curriculum outcomes</w:t>
      </w:r>
    </w:p>
    <w:p w:rsidR="008A1147" w:rsidRPr="006C0ABE" w:rsidRDefault="008A1147" w:rsidP="008A1147">
      <w:pPr>
        <w:rPr>
          <w:rFonts w:asciiTheme="majorHAnsi" w:hAnsiTheme="majorHAnsi"/>
          <w:b/>
          <w:sz w:val="24"/>
          <w:szCs w:val="24"/>
        </w:rPr>
      </w:pPr>
    </w:p>
    <w:p w:rsidR="008A1147" w:rsidRPr="006C0ABE" w:rsidRDefault="008A1147" w:rsidP="008A1147">
      <w:pPr>
        <w:rPr>
          <w:rFonts w:asciiTheme="majorHAnsi" w:hAnsiTheme="majorHAnsi"/>
          <w:b/>
          <w:sz w:val="24"/>
          <w:szCs w:val="24"/>
        </w:rPr>
      </w:pPr>
      <w:r w:rsidRPr="006C0ABE">
        <w:rPr>
          <w:rFonts w:asciiTheme="majorHAnsi" w:hAnsiTheme="majorHAnsi"/>
          <w:b/>
          <w:sz w:val="24"/>
          <w:szCs w:val="24"/>
        </w:rPr>
        <w:t xml:space="preserve">Pupil Premium Budget for 22/23: </w:t>
      </w:r>
    </w:p>
    <w:p w:rsidR="008A1147" w:rsidRDefault="008A1147" w:rsidP="008A1147">
      <w:pPr>
        <w:rPr>
          <w:rFonts w:asciiTheme="majorHAnsi" w:hAnsiTheme="majorHAnsi"/>
          <w:sz w:val="24"/>
          <w:szCs w:val="24"/>
        </w:rPr>
      </w:pPr>
      <w:r>
        <w:rPr>
          <w:rFonts w:asciiTheme="majorHAnsi" w:hAnsiTheme="majorHAnsi"/>
          <w:sz w:val="24"/>
          <w:szCs w:val="24"/>
        </w:rPr>
        <w:t>We have</w:t>
      </w:r>
      <w:r w:rsidR="009C66CD">
        <w:rPr>
          <w:rFonts w:asciiTheme="majorHAnsi" w:hAnsiTheme="majorHAnsi"/>
          <w:sz w:val="24"/>
          <w:szCs w:val="24"/>
        </w:rPr>
        <w:t xml:space="preserve"> identified 40 children who are eligible to receive pupil premium. We have a budget of £12,000.</w:t>
      </w:r>
    </w:p>
    <w:tbl>
      <w:tblPr>
        <w:tblStyle w:val="TableGrid"/>
        <w:tblW w:w="0" w:type="auto"/>
        <w:tblLook w:val="04A0" w:firstRow="1" w:lastRow="0" w:firstColumn="1" w:lastColumn="0" w:noHBand="0" w:noVBand="1"/>
      </w:tblPr>
      <w:tblGrid>
        <w:gridCol w:w="3005"/>
        <w:gridCol w:w="3005"/>
        <w:gridCol w:w="3006"/>
      </w:tblGrid>
      <w:tr w:rsidR="008A1147" w:rsidTr="008A1147">
        <w:tc>
          <w:tcPr>
            <w:tcW w:w="3005" w:type="dxa"/>
            <w:shd w:val="clear" w:color="auto" w:fill="F2F2F2" w:themeFill="background1" w:themeFillShade="F2"/>
          </w:tcPr>
          <w:p w:rsidR="008A1147" w:rsidRDefault="008A1147" w:rsidP="008A1147">
            <w:pPr>
              <w:rPr>
                <w:rFonts w:asciiTheme="majorHAnsi" w:hAnsiTheme="majorHAnsi"/>
                <w:sz w:val="24"/>
                <w:szCs w:val="24"/>
              </w:rPr>
            </w:pPr>
            <w:r>
              <w:rPr>
                <w:rFonts w:asciiTheme="majorHAnsi" w:hAnsiTheme="majorHAnsi"/>
                <w:sz w:val="24"/>
                <w:szCs w:val="24"/>
              </w:rPr>
              <w:t>Intervention</w:t>
            </w:r>
          </w:p>
        </w:tc>
        <w:tc>
          <w:tcPr>
            <w:tcW w:w="3005" w:type="dxa"/>
            <w:shd w:val="clear" w:color="auto" w:fill="F2F2F2" w:themeFill="background1" w:themeFillShade="F2"/>
          </w:tcPr>
          <w:p w:rsidR="008A1147" w:rsidRDefault="008A1147" w:rsidP="008A1147">
            <w:pPr>
              <w:rPr>
                <w:rFonts w:asciiTheme="majorHAnsi" w:hAnsiTheme="majorHAnsi"/>
                <w:sz w:val="24"/>
                <w:szCs w:val="24"/>
              </w:rPr>
            </w:pPr>
            <w:r>
              <w:rPr>
                <w:rFonts w:asciiTheme="majorHAnsi" w:hAnsiTheme="majorHAnsi"/>
                <w:sz w:val="24"/>
                <w:szCs w:val="24"/>
              </w:rPr>
              <w:t>Numbers Accessing</w:t>
            </w:r>
          </w:p>
        </w:tc>
        <w:tc>
          <w:tcPr>
            <w:tcW w:w="3006" w:type="dxa"/>
            <w:shd w:val="clear" w:color="auto" w:fill="F2F2F2" w:themeFill="background1" w:themeFillShade="F2"/>
          </w:tcPr>
          <w:p w:rsidR="008A1147" w:rsidRDefault="008A1147" w:rsidP="008A1147">
            <w:pPr>
              <w:rPr>
                <w:rFonts w:asciiTheme="majorHAnsi" w:hAnsiTheme="majorHAnsi"/>
                <w:sz w:val="24"/>
                <w:szCs w:val="24"/>
              </w:rPr>
            </w:pPr>
            <w:r>
              <w:rPr>
                <w:rFonts w:asciiTheme="majorHAnsi" w:hAnsiTheme="majorHAnsi"/>
                <w:sz w:val="24"/>
                <w:szCs w:val="24"/>
              </w:rPr>
              <w:t>Total cost</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Attendance Support</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12/40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£600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Language screeners and tracking</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19/40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£950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Early Language support</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19/40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£3,420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Personal, social and emotional support</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17/40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£3,060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Attachment support</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4/40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£720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Family Support through Family link worker outreach</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11/40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£3,300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Curriculum Interventions</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40/40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£4,000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Outside Agency Referrals</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Estimated following screeners</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£600</w:t>
            </w:r>
          </w:p>
        </w:tc>
      </w:tr>
      <w:tr w:rsidR="008A1147" w:rsidTr="008A1147">
        <w:tc>
          <w:tcPr>
            <w:tcW w:w="3005" w:type="dxa"/>
          </w:tcPr>
          <w:p w:rsidR="008A1147" w:rsidRDefault="008A1147" w:rsidP="008A1147">
            <w:pPr>
              <w:rPr>
                <w:rFonts w:asciiTheme="majorHAnsi" w:hAnsiTheme="majorHAnsi"/>
                <w:sz w:val="24"/>
                <w:szCs w:val="24"/>
              </w:rPr>
            </w:pPr>
            <w:r>
              <w:rPr>
                <w:rFonts w:asciiTheme="majorHAnsi" w:hAnsiTheme="majorHAnsi"/>
                <w:sz w:val="24"/>
                <w:szCs w:val="24"/>
              </w:rPr>
              <w:t>Access to Curriculum</w:t>
            </w:r>
          </w:p>
        </w:tc>
        <w:tc>
          <w:tcPr>
            <w:tcW w:w="3005" w:type="dxa"/>
          </w:tcPr>
          <w:p w:rsidR="008A1147" w:rsidRDefault="00E0228B" w:rsidP="009C66CD">
            <w:pPr>
              <w:jc w:val="center"/>
              <w:rPr>
                <w:rFonts w:asciiTheme="majorHAnsi" w:hAnsiTheme="majorHAnsi"/>
                <w:sz w:val="24"/>
                <w:szCs w:val="24"/>
              </w:rPr>
            </w:pPr>
            <w:r>
              <w:rPr>
                <w:rFonts w:asciiTheme="majorHAnsi" w:hAnsiTheme="majorHAnsi"/>
                <w:sz w:val="24"/>
                <w:szCs w:val="24"/>
              </w:rPr>
              <w:t>7/40</w:t>
            </w:r>
          </w:p>
        </w:tc>
        <w:tc>
          <w:tcPr>
            <w:tcW w:w="3006" w:type="dxa"/>
          </w:tcPr>
          <w:p w:rsidR="008A1147" w:rsidRDefault="00E0228B" w:rsidP="00E0228B">
            <w:pPr>
              <w:jc w:val="center"/>
              <w:rPr>
                <w:rFonts w:asciiTheme="majorHAnsi" w:hAnsiTheme="majorHAnsi"/>
                <w:sz w:val="24"/>
                <w:szCs w:val="24"/>
              </w:rPr>
            </w:pPr>
            <w:r>
              <w:rPr>
                <w:rFonts w:asciiTheme="majorHAnsi" w:hAnsiTheme="majorHAnsi"/>
                <w:sz w:val="24"/>
                <w:szCs w:val="24"/>
              </w:rPr>
              <w:t>£700</w:t>
            </w:r>
          </w:p>
        </w:tc>
      </w:tr>
      <w:tr w:rsidR="008A1147" w:rsidTr="008A1147">
        <w:tc>
          <w:tcPr>
            <w:tcW w:w="3005" w:type="dxa"/>
          </w:tcPr>
          <w:p w:rsidR="008A1147" w:rsidRDefault="008A1147" w:rsidP="008A1147">
            <w:pPr>
              <w:rPr>
                <w:rFonts w:asciiTheme="majorHAnsi" w:hAnsiTheme="majorHAnsi"/>
                <w:sz w:val="24"/>
                <w:szCs w:val="24"/>
              </w:rPr>
            </w:pPr>
          </w:p>
        </w:tc>
        <w:tc>
          <w:tcPr>
            <w:tcW w:w="3005" w:type="dxa"/>
          </w:tcPr>
          <w:p w:rsidR="008A1147" w:rsidRDefault="008A1147" w:rsidP="008A1147">
            <w:pPr>
              <w:rPr>
                <w:rFonts w:asciiTheme="majorHAnsi" w:hAnsiTheme="majorHAnsi"/>
                <w:sz w:val="24"/>
                <w:szCs w:val="24"/>
              </w:rPr>
            </w:pPr>
          </w:p>
        </w:tc>
        <w:tc>
          <w:tcPr>
            <w:tcW w:w="3006" w:type="dxa"/>
          </w:tcPr>
          <w:p w:rsidR="008A1147" w:rsidRDefault="008A1147" w:rsidP="008A1147">
            <w:pPr>
              <w:rPr>
                <w:rFonts w:asciiTheme="majorHAnsi" w:hAnsiTheme="majorHAnsi"/>
                <w:sz w:val="24"/>
                <w:szCs w:val="24"/>
              </w:rPr>
            </w:pPr>
            <w:r>
              <w:rPr>
                <w:rFonts w:asciiTheme="majorHAnsi" w:hAnsiTheme="majorHAnsi"/>
                <w:sz w:val="24"/>
                <w:szCs w:val="24"/>
              </w:rPr>
              <w:t>Total cost:</w:t>
            </w:r>
            <w:r w:rsidR="00E0228B">
              <w:rPr>
                <w:rFonts w:asciiTheme="majorHAnsi" w:hAnsiTheme="majorHAnsi"/>
                <w:sz w:val="24"/>
                <w:szCs w:val="24"/>
              </w:rPr>
              <w:t xml:space="preserve"> </w:t>
            </w:r>
            <w:r w:rsidR="006C0ABE">
              <w:rPr>
                <w:rFonts w:asciiTheme="majorHAnsi" w:hAnsiTheme="majorHAnsi"/>
                <w:sz w:val="24"/>
                <w:szCs w:val="24"/>
              </w:rPr>
              <w:t>17,350</w:t>
            </w:r>
          </w:p>
          <w:p w:rsidR="008A1147" w:rsidRDefault="008A1147" w:rsidP="008A1147">
            <w:pPr>
              <w:rPr>
                <w:rFonts w:asciiTheme="majorHAnsi" w:hAnsiTheme="majorHAnsi"/>
                <w:sz w:val="24"/>
                <w:szCs w:val="24"/>
              </w:rPr>
            </w:pPr>
          </w:p>
          <w:p w:rsidR="008A1147" w:rsidRDefault="008A1147" w:rsidP="008A1147">
            <w:pPr>
              <w:rPr>
                <w:rFonts w:asciiTheme="majorHAnsi" w:hAnsiTheme="majorHAnsi"/>
                <w:sz w:val="24"/>
                <w:szCs w:val="24"/>
              </w:rPr>
            </w:pPr>
            <w:r>
              <w:rPr>
                <w:rFonts w:asciiTheme="majorHAnsi" w:hAnsiTheme="majorHAnsi"/>
                <w:sz w:val="24"/>
                <w:szCs w:val="24"/>
              </w:rPr>
              <w:t>School Top Up:</w:t>
            </w:r>
            <w:r w:rsidR="006C0ABE">
              <w:rPr>
                <w:rFonts w:asciiTheme="majorHAnsi" w:hAnsiTheme="majorHAnsi"/>
                <w:sz w:val="24"/>
                <w:szCs w:val="24"/>
              </w:rPr>
              <w:t xml:space="preserve"> £5,350</w:t>
            </w:r>
          </w:p>
          <w:p w:rsidR="008A1147" w:rsidRDefault="008A1147" w:rsidP="008A1147">
            <w:pPr>
              <w:rPr>
                <w:rFonts w:asciiTheme="majorHAnsi" w:hAnsiTheme="majorHAnsi"/>
                <w:sz w:val="24"/>
                <w:szCs w:val="24"/>
              </w:rPr>
            </w:pPr>
          </w:p>
        </w:tc>
      </w:tr>
    </w:tbl>
    <w:p w:rsidR="008A1147" w:rsidRPr="008A1147" w:rsidRDefault="008A1147" w:rsidP="008A1147">
      <w:pPr>
        <w:rPr>
          <w:rFonts w:asciiTheme="majorHAnsi" w:hAnsiTheme="majorHAnsi"/>
          <w:sz w:val="24"/>
          <w:szCs w:val="24"/>
        </w:rPr>
      </w:pPr>
    </w:p>
    <w:p w:rsidR="008A1147" w:rsidRPr="008A1147" w:rsidRDefault="008A1147" w:rsidP="008A1147">
      <w:pPr>
        <w:rPr>
          <w:rFonts w:asciiTheme="majorHAnsi" w:hAnsiTheme="majorHAnsi"/>
          <w:sz w:val="24"/>
          <w:szCs w:val="24"/>
        </w:rPr>
      </w:pPr>
    </w:p>
    <w:p w:rsidR="008A1147" w:rsidRPr="008A1147" w:rsidRDefault="006C0ABE" w:rsidP="008A1147">
      <w:pPr>
        <w:rPr>
          <w:rFonts w:asciiTheme="majorHAnsi" w:hAnsiTheme="majorHAnsi"/>
          <w:sz w:val="24"/>
          <w:szCs w:val="24"/>
        </w:rPr>
      </w:pPr>
      <w:r w:rsidRPr="00B930D6">
        <w:rPr>
          <w:noProof/>
          <w:lang w:eastAsia="en-GB"/>
        </w:rPr>
        <w:drawing>
          <wp:anchor distT="0" distB="0" distL="114300" distR="114300" simplePos="0" relativeHeight="251661312" behindDoc="1" locked="0" layoutInCell="1" allowOverlap="1" wp14:anchorId="2F9F24DE" wp14:editId="07562FCB">
            <wp:simplePos x="0" y="0"/>
            <wp:positionH relativeFrom="margin">
              <wp:posOffset>1171575</wp:posOffset>
            </wp:positionH>
            <wp:positionV relativeFrom="paragraph">
              <wp:posOffset>170180</wp:posOffset>
            </wp:positionV>
            <wp:extent cx="3055620" cy="1834264"/>
            <wp:effectExtent l="0" t="0" r="0" b="0"/>
            <wp:wrapNone/>
            <wp:docPr id="26" name="Picture 26" descr="C:\Users\mandy.collier-king\Downloads\illminst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y.collier-king\Downloads\illminster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5620" cy="18342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5F21" w:rsidRDefault="00CB5F21" w:rsidP="00CB5F21"/>
    <w:p w:rsidR="00CB5F21" w:rsidRDefault="00CB5F21" w:rsidP="00CB5F21"/>
    <w:p w:rsidR="00CB5F21" w:rsidRDefault="00CB5F21" w:rsidP="00CB5F21"/>
    <w:sectPr w:rsidR="00CB5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037"/>
    <w:multiLevelType w:val="hybridMultilevel"/>
    <w:tmpl w:val="5602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0F81"/>
    <w:multiLevelType w:val="hybridMultilevel"/>
    <w:tmpl w:val="16C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D629C"/>
    <w:multiLevelType w:val="hybridMultilevel"/>
    <w:tmpl w:val="93AC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454F9"/>
    <w:multiLevelType w:val="hybridMultilevel"/>
    <w:tmpl w:val="4E6A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21"/>
    <w:rsid w:val="006C0ABE"/>
    <w:rsid w:val="008A1147"/>
    <w:rsid w:val="009C66CD"/>
    <w:rsid w:val="00CB5F21"/>
    <w:rsid w:val="00D56D22"/>
    <w:rsid w:val="00E0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6B976-5D6B-47E1-949B-96489BFE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21"/>
    <w:pPr>
      <w:ind w:left="720"/>
      <w:contextualSpacing/>
    </w:pPr>
  </w:style>
  <w:style w:type="table" w:styleId="TableGrid">
    <w:name w:val="Table Grid"/>
    <w:basedOn w:val="TableNormal"/>
    <w:uiPriority w:val="39"/>
    <w:rsid w:val="008A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Collier-King</dc:creator>
  <cp:keywords/>
  <dc:description/>
  <cp:lastModifiedBy>Mandy Collier-King</cp:lastModifiedBy>
  <cp:revision>2</cp:revision>
  <dcterms:created xsi:type="dcterms:W3CDTF">2023-01-27T11:31:00Z</dcterms:created>
  <dcterms:modified xsi:type="dcterms:W3CDTF">2023-01-27T11:31:00Z</dcterms:modified>
</cp:coreProperties>
</file>